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DC3" w14:textId="4CE5295A" w:rsidR="006B167E" w:rsidRPr="000362F8" w:rsidRDefault="00D32C31" w:rsidP="006B167E">
      <w:pPr>
        <w:pStyle w:val="ID2-DokumentTitle"/>
        <w:rPr>
          <w:sz w:val="15"/>
          <w:szCs w:val="15"/>
        </w:rPr>
      </w:pPr>
      <w:r>
        <w:t xml:space="preserve">A.4 - </w:t>
      </w:r>
      <w:r w:rsidR="605BD194">
        <w:t>Verzeichnis von Verarbeitungstätigkeiten der Kommune XY</w:t>
      </w:r>
      <w:r w:rsidR="00F97016">
        <w:br/>
      </w:r>
      <w:r w:rsidR="00827022">
        <w:rPr>
          <w:b w:val="0"/>
          <w:bCs w:val="0"/>
          <w:sz w:val="15"/>
          <w:szCs w:val="15"/>
        </w:rPr>
        <w:br/>
      </w:r>
      <w:r w:rsidR="605BD194" w:rsidRPr="605BD194">
        <w:rPr>
          <w:b w:val="0"/>
          <w:bCs w:val="0"/>
          <w:sz w:val="15"/>
          <w:szCs w:val="15"/>
        </w:rPr>
        <w:t>Stand 11.07.2022</w:t>
      </w:r>
    </w:p>
    <w:p w14:paraId="5DAB6C7B" w14:textId="77777777" w:rsidR="00CA62FC" w:rsidRDefault="00F97016" w:rsidP="005160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EB378F" w14:textId="77777777" w:rsidR="00CA62FC" w:rsidRDefault="00CA62FC" w:rsidP="0051609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2FEE43" w14:textId="06E4C65B" w:rsidR="00CA62FC" w:rsidRPr="00516099" w:rsidRDefault="1CB57C27" w:rsidP="00516099">
      <w:pPr>
        <w:pStyle w:val="ID2Fliesstext"/>
        <w:rPr>
          <w:b/>
          <w:bCs/>
        </w:rPr>
      </w:pPr>
      <w:r w:rsidRPr="1CB57C27">
        <w:rPr>
          <w:b/>
          <w:bCs/>
        </w:rPr>
        <w:t>Kontaktdaten der/des verantwortlichen</w:t>
      </w:r>
      <w:r w:rsidR="00F97016">
        <w:tab/>
      </w:r>
      <w:r w:rsidR="00F97016">
        <w:tab/>
      </w:r>
      <w:r w:rsidR="00F97016">
        <w:tab/>
      </w:r>
      <w:r w:rsidR="00F97016">
        <w:tab/>
      </w:r>
      <w:r w:rsidR="00F97016">
        <w:tab/>
      </w:r>
      <w:r w:rsidRPr="1CB57C27">
        <w:rPr>
          <w:b/>
          <w:bCs/>
        </w:rPr>
        <w:t>Kontaktdaten</w:t>
      </w:r>
      <w:r w:rsidR="00F97016">
        <w:br/>
      </w:r>
      <w:r w:rsidRPr="1CB57C27">
        <w:rPr>
          <w:b/>
          <w:bCs/>
        </w:rPr>
        <w:t>Ansprechpartners/Ansprechpartnerin</w:t>
      </w:r>
      <w:r w:rsidR="00F97016">
        <w:tab/>
      </w:r>
      <w:r w:rsidR="00F97016">
        <w:tab/>
      </w:r>
      <w:r w:rsidR="00F97016">
        <w:tab/>
      </w:r>
      <w:r w:rsidR="00F97016">
        <w:tab/>
      </w:r>
      <w:r w:rsidR="00F97016">
        <w:tab/>
      </w:r>
      <w:r w:rsidRPr="1CB57C27">
        <w:rPr>
          <w:b/>
          <w:bCs/>
        </w:rPr>
        <w:t>der/des Datenschutzbeauftragten</w:t>
      </w:r>
    </w:p>
    <w:p w14:paraId="791830D2" w14:textId="77777777" w:rsidR="00CA62FC" w:rsidRDefault="00F97016" w:rsidP="00516099">
      <w:pPr>
        <w:pStyle w:val="ID2Fliesstext"/>
      </w:pPr>
      <w:r>
        <w:t>Stadt /Gemeinde XY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Frau/Herr DSB</w:t>
      </w:r>
    </w:p>
    <w:p w14:paraId="20C9DE53" w14:textId="77777777" w:rsidR="00CA62FC" w:rsidRDefault="00F97016" w:rsidP="00516099">
      <w:pPr>
        <w:pStyle w:val="ID2Fliesstext"/>
      </w:pPr>
      <w:r>
        <w:t xml:space="preserve">Musterstraße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Dienstliche Kontaktdaten</w:t>
      </w:r>
    </w:p>
    <w:p w14:paraId="4995E3CB" w14:textId="77777777" w:rsidR="00CA62FC" w:rsidRDefault="00F97016" w:rsidP="00516099">
      <w:pPr>
        <w:pStyle w:val="ID2Fliesstext"/>
      </w:pPr>
      <w:r>
        <w:t xml:space="preserve">11111 Musterstadt </w:t>
      </w:r>
    </w:p>
    <w:p w14:paraId="6A05A809" w14:textId="77777777" w:rsidR="00CA62FC" w:rsidRDefault="00CA62FC" w:rsidP="005160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724"/>
        <w:gridCol w:w="2165"/>
        <w:gridCol w:w="1377"/>
        <w:gridCol w:w="2430"/>
        <w:gridCol w:w="1579"/>
        <w:gridCol w:w="1244"/>
        <w:gridCol w:w="1275"/>
        <w:gridCol w:w="2079"/>
        <w:gridCol w:w="1261"/>
      </w:tblGrid>
      <w:tr w:rsidR="00516099" w:rsidRPr="00827022" w14:paraId="28E6BB6D" w14:textId="77777777" w:rsidTr="605BD194">
        <w:tc>
          <w:tcPr>
            <w:tcW w:w="1724" w:type="dxa"/>
            <w:shd w:val="clear" w:color="auto" w:fill="1F497D" w:themeFill="text2"/>
          </w:tcPr>
          <w:p w14:paraId="52E3CFB6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Zweck/Inhalt der Verarbeitung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65" w:type="dxa"/>
            <w:shd w:val="clear" w:color="auto" w:fill="1F497D" w:themeFill="text2"/>
          </w:tcPr>
          <w:p w14:paraId="2C685A96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Erlaubnis-tatbestand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7" w:type="dxa"/>
            <w:shd w:val="clear" w:color="auto" w:fill="1F497D" w:themeFill="text2"/>
          </w:tcPr>
          <w:p w14:paraId="5EF74147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Betroffene Personen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0" w:type="dxa"/>
            <w:shd w:val="clear" w:color="auto" w:fill="1F497D" w:themeFill="text2"/>
          </w:tcPr>
          <w:p w14:paraId="2668DB55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Arten personenbezogener Daten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79" w:type="dxa"/>
            <w:shd w:val="clear" w:color="auto" w:fill="1F497D" w:themeFill="text2"/>
          </w:tcPr>
          <w:p w14:paraId="7544AC47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Gruppen von Empfängern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44" w:type="dxa"/>
            <w:shd w:val="clear" w:color="auto" w:fill="1F497D" w:themeFill="text2"/>
          </w:tcPr>
          <w:p w14:paraId="672006E1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Transfer in Drittland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5" w:type="dxa"/>
            <w:shd w:val="clear" w:color="auto" w:fill="1F497D" w:themeFill="text2"/>
          </w:tcPr>
          <w:p w14:paraId="232FD3AF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Löschfrist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079" w:type="dxa"/>
            <w:shd w:val="clear" w:color="auto" w:fill="1F497D" w:themeFill="text2"/>
          </w:tcPr>
          <w:p w14:paraId="11ED00E9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>Technisch-organisatorische Maßnahmen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61" w:type="dxa"/>
            <w:shd w:val="clear" w:color="auto" w:fill="1F497D" w:themeFill="text2"/>
          </w:tcPr>
          <w:p w14:paraId="5DDC4E64" w14:textId="77777777" w:rsidR="00CA62FC" w:rsidRPr="00827022" w:rsidRDefault="00F97016" w:rsidP="00516099">
            <w:pPr>
              <w:pStyle w:val="ID2Fliesstext"/>
              <w:spacing w:line="276" w:lineRule="aut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827022">
              <w:rPr>
                <w:color w:val="F2F2F2" w:themeColor="background1" w:themeShade="F2"/>
                <w:sz w:val="20"/>
                <w:szCs w:val="20"/>
              </w:rPr>
              <w:t xml:space="preserve">OZG – Nummer und </w:t>
            </w:r>
            <w:proofErr w:type="spellStart"/>
            <w:r w:rsidRPr="00827022">
              <w:rPr>
                <w:color w:val="F2F2F2" w:themeColor="background1" w:themeShade="F2"/>
                <w:sz w:val="20"/>
                <w:szCs w:val="20"/>
              </w:rPr>
              <w:t>Leika</w:t>
            </w:r>
            <w:proofErr w:type="spellEnd"/>
            <w:r w:rsidRPr="00827022">
              <w:rPr>
                <w:color w:val="F2F2F2" w:themeColor="background1" w:themeShade="F2"/>
                <w:sz w:val="20"/>
                <w:szCs w:val="20"/>
              </w:rPr>
              <w:t xml:space="preserve"> – ID</w:t>
            </w:r>
            <w:r w:rsidRPr="00827022">
              <w:rPr>
                <w:color w:val="F2F2F2" w:themeColor="background1" w:themeShade="F2"/>
                <w:sz w:val="20"/>
                <w:szCs w:val="20"/>
                <w:vertAlign w:val="superscript"/>
              </w:rPr>
              <w:t>9</w:t>
            </w:r>
          </w:p>
        </w:tc>
      </w:tr>
      <w:tr w:rsidR="00CA62FC" w:rsidRPr="00827022" w14:paraId="5A39BBE3" w14:textId="77777777" w:rsidTr="605BD194">
        <w:tc>
          <w:tcPr>
            <w:tcW w:w="1724" w:type="dxa"/>
          </w:tcPr>
          <w:p w14:paraId="41C8F396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B940D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E27B00A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0061E4C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EAFD9C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B94D5A5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DEEC669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56B9AB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5FB0818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49F31CB" w14:textId="77777777" w:rsidR="00CA62FC" w:rsidRPr="00827022" w:rsidRDefault="00CA62FC" w:rsidP="0051609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28261" w14:textId="0577C5C9" w:rsidR="00CA62FC" w:rsidRDefault="00CA62FC" w:rsidP="005160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EB62E5" w14:textId="77777777" w:rsidR="00827022" w:rsidRDefault="00827022" w:rsidP="005160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2AF1F9" w14:textId="1D56008D" w:rsidR="00CA62FC" w:rsidRDefault="1CB57C27" w:rsidP="00516099">
      <w:pPr>
        <w:pStyle w:val="ID2Fliesstext"/>
      </w:pPr>
      <w:r>
        <w:t xml:space="preserve">1: Stichwortartig und prägnant den Zweck bzw. Inhalt der Verarbeitung beschreiben, z. B. „Einstellungsuntersuchung“. Ggf. lfd. Nummerierung hinzufügen. </w:t>
      </w:r>
      <w:r w:rsidR="00F97016">
        <w:br/>
      </w:r>
    </w:p>
    <w:p w14:paraId="075FE8EF" w14:textId="77777777" w:rsidR="00827022" w:rsidRPr="00516099" w:rsidRDefault="00827022" w:rsidP="00516099">
      <w:pPr>
        <w:pStyle w:val="ID2Fliesstext"/>
      </w:pPr>
    </w:p>
    <w:p w14:paraId="5BB49914" w14:textId="77777777" w:rsidR="00CA62FC" w:rsidRPr="00516099" w:rsidRDefault="00F97016" w:rsidP="00516099">
      <w:pPr>
        <w:pStyle w:val="ID2Fliesstext"/>
      </w:pPr>
      <w:r w:rsidRPr="00516099">
        <w:t xml:space="preserve">2: Rechtsgrundlage der Datenverarbeitung, z. B. § 3 NDSG i. V. m. Fachrecht, ein Spezialgesetz oder Dienstvereinbarung. Ggf. kommt bei Fehlen eines gesetzlichen Erlaubnistatbestandes die Einwilligungserklärung gem. </w:t>
      </w:r>
      <w:proofErr w:type="spellStart"/>
      <w:r w:rsidRPr="00516099">
        <w:t>Artt</w:t>
      </w:r>
      <w:proofErr w:type="spellEnd"/>
      <w:r w:rsidRPr="00516099">
        <w:t>. 6, 7 DS-GVO in Betracht.</w:t>
      </w:r>
      <w:r w:rsidR="00CE4391">
        <w:br/>
      </w:r>
    </w:p>
    <w:p w14:paraId="7653B286" w14:textId="119A4B5B" w:rsidR="00CA62FC" w:rsidRDefault="605BD194" w:rsidP="00516099">
      <w:pPr>
        <w:pStyle w:val="ID2Fliesstext"/>
      </w:pPr>
      <w:r>
        <w:lastRenderedPageBreak/>
        <w:t>3: Wessen Daten werden verarbeitet? Ggf. auch Personengruppen, die unter einem gemeinsamen Merkmal zusammengefasst werden können; z. B. „Beschäftigte der Kommune“, aber keine individuellen Namen oder einzelne Menschen konkret nennen.</w:t>
      </w:r>
      <w:r w:rsidR="00F97016">
        <w:br/>
      </w:r>
    </w:p>
    <w:p w14:paraId="6749A1AC" w14:textId="77777777" w:rsidR="00827022" w:rsidRPr="00516099" w:rsidRDefault="00827022" w:rsidP="00516099">
      <w:pPr>
        <w:pStyle w:val="ID2Fliesstext"/>
      </w:pPr>
    </w:p>
    <w:p w14:paraId="2EC94653" w14:textId="77777777" w:rsidR="00CA62FC" w:rsidRPr="00516099" w:rsidRDefault="605BD194" w:rsidP="00516099">
      <w:pPr>
        <w:pStyle w:val="ID2Fliesstext"/>
      </w:pPr>
      <w:r>
        <w:t>4: Stichwortartig die Art der verarbeiteten Daten beschreiben, z. B. „Kontaktdaten“. Daten i. S. v. Art. 9, 10 DSGVO einzeln benennen.</w:t>
      </w:r>
    </w:p>
    <w:p w14:paraId="27F893B9" w14:textId="0ECC257E" w:rsidR="605BD194" w:rsidRDefault="605BD194" w:rsidP="605BD194">
      <w:pPr>
        <w:pStyle w:val="ID2Fliesstext"/>
      </w:pPr>
    </w:p>
    <w:p w14:paraId="48C71CBA" w14:textId="77777777" w:rsidR="00827022" w:rsidRDefault="00827022" w:rsidP="605BD194">
      <w:pPr>
        <w:pStyle w:val="ID2Fliesstext"/>
      </w:pPr>
    </w:p>
    <w:p w14:paraId="43A3FD1D" w14:textId="19A5F020" w:rsidR="00CA62FC" w:rsidRDefault="00F97016" w:rsidP="00516099">
      <w:pPr>
        <w:pStyle w:val="ID2Fliesstext"/>
      </w:pPr>
      <w:r w:rsidRPr="00516099">
        <w:t>5: Behörden/Dritte, bei denen die Daten offengelegt werden, z. B. Polizei- oder Aufsichtsbehörden; ggf. in Gruppen zusammenfassen, Einzelnennung der Empfänger nicht unbedingt erforderlich.</w:t>
      </w:r>
      <w:r w:rsidR="00CE4391">
        <w:br/>
      </w:r>
    </w:p>
    <w:p w14:paraId="0DF9CC53" w14:textId="77777777" w:rsidR="00827022" w:rsidRPr="00516099" w:rsidRDefault="00827022" w:rsidP="00516099">
      <w:pPr>
        <w:pStyle w:val="ID2Fliesstext"/>
      </w:pPr>
    </w:p>
    <w:p w14:paraId="62B20504" w14:textId="432057AE" w:rsidR="00CA62FC" w:rsidRDefault="00F97016" w:rsidP="00516099">
      <w:pPr>
        <w:pStyle w:val="ID2Fliesstext"/>
      </w:pPr>
      <w:r w:rsidRPr="00516099">
        <w:t>6: Liegt nur vor, wenn Daten in einen Staat außerhalb der europäischen Union transferiert werden, z. B. USA oder Türkei.</w:t>
      </w:r>
      <w:r w:rsidR="00CE4391">
        <w:br/>
      </w:r>
    </w:p>
    <w:p w14:paraId="4AD08BA5" w14:textId="77777777" w:rsidR="00827022" w:rsidRPr="00516099" w:rsidRDefault="00827022" w:rsidP="00516099">
      <w:pPr>
        <w:pStyle w:val="ID2Fliesstext"/>
      </w:pPr>
    </w:p>
    <w:p w14:paraId="07E672D4" w14:textId="3D8A2630" w:rsidR="00CA62FC" w:rsidRDefault="605BD194" w:rsidP="00516099">
      <w:pPr>
        <w:pStyle w:val="ID2Fliesstext"/>
      </w:pPr>
      <w:r>
        <w:t>7: Angabe des Zeitraums, nach dessen Ablauf die Daten gelöscht werden müssen (z. B. Ablauf gesetzlicher Aufbewahrungsfrist), z. B. „drei Jahre“ (s. hierzu insb. die Empfehlungen der KGSt); ggf. kommt ein Verweis auf ein bestehendes Löschkonzept in Betracht. Es können für die einzelnen Datenkategorien unterschiedliche Fristen gelten.</w:t>
      </w:r>
      <w:r w:rsidR="00F97016">
        <w:br/>
      </w:r>
    </w:p>
    <w:p w14:paraId="77E7D2D4" w14:textId="77777777" w:rsidR="00827022" w:rsidRPr="00516099" w:rsidRDefault="00827022" w:rsidP="00516099">
      <w:pPr>
        <w:pStyle w:val="ID2Fliesstext"/>
      </w:pPr>
    </w:p>
    <w:p w14:paraId="6C403A3F" w14:textId="13901597" w:rsidR="00CA62FC" w:rsidRDefault="1CB57C27" w:rsidP="00516099">
      <w:pPr>
        <w:pStyle w:val="ID2Fliesstext"/>
      </w:pPr>
      <w:r>
        <w:t xml:space="preserve">8: Sicherheitsmaßnahmen technischer und organisatorischer Natur, z. B. Verschlüsselungen oder Dienstanweisungen. Ggf. kommt hier im Sinne des Art. 30 Abs. 1 g) i. V. m. Art. 32 Abs. 1 DS-GVO ein Verweis auf eine ordnungsgemäß durchgeführte Risikoanalyse einschließlich einer Bewertung der umgesetzten </w:t>
      </w:r>
      <w:proofErr w:type="spellStart"/>
      <w:proofErr w:type="gramStart"/>
      <w:r>
        <w:t>TOM’s</w:t>
      </w:r>
      <w:proofErr w:type="spellEnd"/>
      <w:proofErr w:type="gramEnd"/>
      <w:r>
        <w:t xml:space="preserve"> in Betracht. Die vorliegenden Muster sind so konzipiert, dass an dieser Stelle das Arbeitspapier A.5.1 als Quelle für die relevanten </w:t>
      </w:r>
      <w:proofErr w:type="spellStart"/>
      <w:proofErr w:type="gramStart"/>
      <w:r>
        <w:t>TOM’s</w:t>
      </w:r>
      <w:proofErr w:type="spellEnd"/>
      <w:proofErr w:type="gramEnd"/>
      <w:r>
        <w:t xml:space="preserve"> referenziert werden sollte.</w:t>
      </w:r>
      <w:r w:rsidR="00F97016">
        <w:br/>
      </w:r>
    </w:p>
    <w:p w14:paraId="1998FE07" w14:textId="77777777" w:rsidR="00827022" w:rsidRPr="00516099" w:rsidRDefault="00827022" w:rsidP="00516099">
      <w:pPr>
        <w:pStyle w:val="ID2Fliesstext"/>
      </w:pPr>
    </w:p>
    <w:p w14:paraId="4DAA0938" w14:textId="2E9C0548" w:rsidR="00CA62FC" w:rsidRPr="00516099" w:rsidRDefault="605BD194" w:rsidP="00516099">
      <w:pPr>
        <w:pStyle w:val="ID2Fliesstext"/>
      </w:pPr>
      <w:r>
        <w:lastRenderedPageBreak/>
        <w:t xml:space="preserve">9. optional: Das VVT kann als Steuerungsinstrument bei der OZG – Umsetzung verwendet werden, wenn einer Verarbeitungstätigkeit gleich die entsprechende Kennziffer aus dem OZG Katalog zugewiesen wird. Beispiel: VT Ausstellen von Führerscheinen = Ziff. 4.6.1.3. OZG-Umsetzungskatalog. </w:t>
      </w:r>
    </w:p>
    <w:p w14:paraId="62486C05" w14:textId="073DD1D9" w:rsidR="00CA62FC" w:rsidRDefault="00CA62FC" w:rsidP="00516099">
      <w:pPr>
        <w:pStyle w:val="ID2Fliesstext"/>
      </w:pPr>
    </w:p>
    <w:p w14:paraId="69A81F76" w14:textId="77777777" w:rsidR="00827022" w:rsidRPr="00516099" w:rsidRDefault="00827022" w:rsidP="00516099">
      <w:pPr>
        <w:pStyle w:val="ID2Fliesstext"/>
      </w:pPr>
    </w:p>
    <w:p w14:paraId="54D10888" w14:textId="2DF14D4C" w:rsidR="00CA62FC" w:rsidRPr="00516099" w:rsidRDefault="605BD194" w:rsidP="00516099">
      <w:pPr>
        <w:pStyle w:val="ID2Fliesstext"/>
      </w:pPr>
      <w:r>
        <w:t>Zusammenfassen von Verarbeitungstätigkeiten: Möglich, wenn Zweck, Inhalt und die Angaben zu Verarbeitungen identisch sind oder sich inhaltlich überschneiden. Verwaltungs-, Widerspruchs- und Klageverfahren können ebenfalls zusammengefasst werden.</w:t>
      </w:r>
    </w:p>
    <w:p w14:paraId="4101652C" w14:textId="77777777" w:rsidR="00CA62FC" w:rsidRPr="00516099" w:rsidRDefault="00CA62FC" w:rsidP="00516099">
      <w:pPr>
        <w:pStyle w:val="ID2Fliesstext"/>
      </w:pPr>
    </w:p>
    <w:sectPr w:rsidR="00CA62FC" w:rsidRPr="0051609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2956" w14:textId="77777777" w:rsidR="003B513B" w:rsidRDefault="003B513B">
      <w:pPr>
        <w:spacing w:after="0" w:line="240" w:lineRule="auto"/>
      </w:pPr>
      <w:r>
        <w:separator/>
      </w:r>
    </w:p>
  </w:endnote>
  <w:endnote w:type="continuationSeparator" w:id="0">
    <w:p w14:paraId="26279DC7" w14:textId="77777777" w:rsidR="003B513B" w:rsidRDefault="003B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713AC7" w:rsidRDefault="00713AC7" w:rsidP="00713AC7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F81BD" w:themeColor="accent1"/>
        <w:sz w:val="16"/>
        <w:szCs w:val="16"/>
      </w:rPr>
    </w:pPr>
  </w:p>
  <w:p w14:paraId="1FC39945" w14:textId="77777777" w:rsidR="00713AC7" w:rsidRPr="009126F3" w:rsidRDefault="00713AC7" w:rsidP="00713AC7">
    <w:pPr>
      <w:pStyle w:val="Fuzeile"/>
      <w:tabs>
        <w:tab w:val="left" w:pos="2093"/>
      </w:tabs>
      <w:ind w:left="708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ab/>
    </w:r>
  </w:p>
  <w:tbl>
    <w:tblPr>
      <w:tblStyle w:val="Tabellenraster"/>
      <w:tblW w:w="15436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5"/>
      <w:gridCol w:w="5191"/>
    </w:tblGrid>
    <w:tr w:rsidR="00713AC7" w14:paraId="60E20C1F" w14:textId="77777777" w:rsidTr="00713AC7">
      <w:trPr>
        <w:trHeight w:val="404"/>
      </w:trPr>
      <w:tc>
        <w:tcPr>
          <w:tcW w:w="10245" w:type="dxa"/>
        </w:tcPr>
        <w:p w14:paraId="4937484A" w14:textId="2A3BB2B1" w:rsidR="00713AC7" w:rsidRDefault="00713AC7" w:rsidP="00713AC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D32C31">
            <w:rPr>
              <w:rFonts w:ascii="Arial" w:hAnsi="Arial" w:cs="Arial"/>
              <w:b/>
              <w:bCs/>
              <w:sz w:val="16"/>
              <w:szCs w:val="16"/>
            </w:rPr>
            <w:t>A.4 - V</w:t>
          </w:r>
          <w:r w:rsidR="00516099" w:rsidRPr="00516099">
            <w:rPr>
              <w:rFonts w:ascii="Arial" w:hAnsi="Arial" w:cs="Arial"/>
              <w:b/>
              <w:bCs/>
              <w:sz w:val="16"/>
              <w:szCs w:val="16"/>
            </w:rPr>
            <w:t>erzeichnis von Verarbeitungstätigkeiten der Kommune XY</w:t>
          </w:r>
        </w:p>
        <w:p w14:paraId="15A4507E" w14:textId="77777777" w:rsidR="00713AC7" w:rsidRDefault="00713AC7" w:rsidP="00713AC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0F83EC21" w14:textId="0252ED7E" w:rsidR="00516099" w:rsidRDefault="00713AC7" w:rsidP="002C4DA2">
          <w:pPr>
            <w:pStyle w:val="Fuzeile"/>
            <w:tabs>
              <w:tab w:val="clear" w:pos="4536"/>
              <w:tab w:val="clear" w:pos="9072"/>
              <w:tab w:val="left" w:pos="690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827022">
            <w:rPr>
              <w:rFonts w:ascii="Arial" w:hAnsi="Arial" w:cs="Arial"/>
              <w:sz w:val="16"/>
              <w:szCs w:val="16"/>
            </w:rPr>
            <w:t>11</w:t>
          </w:r>
          <w:r w:rsidR="00516099">
            <w:rPr>
              <w:rFonts w:ascii="Arial" w:hAnsi="Arial" w:cs="Arial"/>
              <w:sz w:val="16"/>
              <w:szCs w:val="16"/>
            </w:rPr>
            <w:t>.0</w:t>
          </w:r>
          <w:r w:rsidR="00827022">
            <w:rPr>
              <w:rFonts w:ascii="Arial" w:hAnsi="Arial" w:cs="Arial"/>
              <w:sz w:val="16"/>
              <w:szCs w:val="16"/>
            </w:rPr>
            <w:t>7</w:t>
          </w:r>
          <w:r w:rsidR="00516099">
            <w:rPr>
              <w:rFonts w:ascii="Arial" w:hAnsi="Arial" w:cs="Arial"/>
              <w:sz w:val="16"/>
              <w:szCs w:val="16"/>
            </w:rPr>
            <w:t>.202</w:t>
          </w:r>
          <w:r w:rsidR="00827022">
            <w:rPr>
              <w:rFonts w:ascii="Arial" w:hAnsi="Arial" w:cs="Arial"/>
              <w:sz w:val="16"/>
              <w:szCs w:val="16"/>
            </w:rPr>
            <w:t>2</w:t>
          </w:r>
          <w:r w:rsidR="002C4DA2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5191" w:type="dxa"/>
        </w:tcPr>
        <w:p w14:paraId="11A0F194" w14:textId="77777777" w:rsidR="00713AC7" w:rsidRPr="002C425D" w:rsidRDefault="00713AC7" w:rsidP="00713AC7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0562CB0E" w14:textId="77777777" w:rsidR="00713AC7" w:rsidRDefault="00713AC7" w:rsidP="00713AC7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3C6CC4C3" w14:textId="77777777" w:rsidR="00713AC7" w:rsidRPr="002C425D" w:rsidRDefault="00713AC7" w:rsidP="00713AC7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34CE0A41" w14:textId="77777777" w:rsidR="00CA62FC" w:rsidRPr="00713AC7" w:rsidRDefault="00713AC7" w:rsidP="00713AC7">
    <w:pPr>
      <w:pStyle w:val="Fuzeile"/>
      <w:tabs>
        <w:tab w:val="clear" w:pos="4536"/>
        <w:tab w:val="clear" w:pos="9072"/>
        <w:tab w:val="left" w:pos="3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D023" w14:textId="77777777" w:rsidR="003B513B" w:rsidRDefault="003B513B">
      <w:pPr>
        <w:spacing w:after="0" w:line="240" w:lineRule="auto"/>
      </w:pPr>
      <w:r>
        <w:separator/>
      </w:r>
    </w:p>
  </w:footnote>
  <w:footnote w:type="continuationSeparator" w:id="0">
    <w:p w14:paraId="450DE82F" w14:textId="77777777" w:rsidR="003B513B" w:rsidRDefault="003B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B75" w14:textId="77777777" w:rsidR="00CA62FC" w:rsidRDefault="00F970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502789120" behindDoc="1" locked="0" layoutInCell="0" allowOverlap="1" wp14:anchorId="602AB5F1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2450" cy="172529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6902450" cy="1725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679531" w14:textId="77777777" w:rsidR="00CA62FC" w:rsidRDefault="00F97016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02AB5F1" id="Rechteck 1" o:spid="_x0000_s1026" style="position:absolute;margin-left:0;margin-top:0;width:543.5pt;height:135.85pt;rotation:-45;z-index:-527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" o:allowincell="f" filled="f" stroked="f">
              <v:textbox inset="0,0,0,0">
                <w:txbxContent>
                  <w:p w14:paraId="54679531" w14:textId="77777777" w:rsidR="00CA62FC" w:rsidRDefault="00F97016">
                    <w:pPr>
                      <w:jc w:val="center"/>
                      <w:rPr>
                        <w:rFonts w:ascii="Arial" w:hAnsi="Arial"/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49803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CA62FC" w:rsidRPr="00713AC7" w:rsidRDefault="00713AC7" w:rsidP="00713AC7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502793216" behindDoc="0" locked="0" layoutInCell="1" allowOverlap="1" wp14:anchorId="580E8836" wp14:editId="408C6FEF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3" name="Grafik 3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86A" w14:textId="77777777" w:rsidR="00CA62FC" w:rsidRDefault="00F970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502791168" behindDoc="1" locked="0" layoutInCell="0" allowOverlap="1" wp14:anchorId="63621E15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2450" cy="172529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6902450" cy="1725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880CB5" w14:textId="77777777" w:rsidR="00CA62FC" w:rsidRDefault="00F97016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80808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2A2AA7F5">
            <v:rect id="Rechteck 2" style="position:absolute;margin-left:0;margin-top:0;width:543.5pt;height:135.85pt;rotation:-45;z-index:-525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spid="_x0000_s1027" o:allowincell="f" filled="f" stroked="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">
              <v:textbox inset="0,0,0,0">
                <w:txbxContent>
                  <w:p w:rsidR="00CA62FC" w:rsidRDefault="00F97016" w14:paraId="49ED7DC7" wp14:textId="77777777">
                    <w:pPr>
                      <w:jc w:val="center"/>
                      <w:rPr>
                        <w:rFonts w:ascii="Arial" w:hAnsi="Arial"/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color w:val="80808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808080">
                              <w14:alpha w14:val="49803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0qPMb/eourwr" int2:id="gViiRuJ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D7704F1"/>
    <w:multiLevelType w:val="hybridMultilevel"/>
    <w:tmpl w:val="7DD02634"/>
    <w:lvl w:ilvl="0" w:tplc="01F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8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E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A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AE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C7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5085">
    <w:abstractNumId w:val="1"/>
  </w:num>
  <w:num w:numId="2" w16cid:durableId="73165288">
    <w:abstractNumId w:val="0"/>
  </w:num>
  <w:num w:numId="3" w16cid:durableId="5946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FC"/>
    <w:rsid w:val="000362F8"/>
    <w:rsid w:val="0005402B"/>
    <w:rsid w:val="002C4DA2"/>
    <w:rsid w:val="003B513B"/>
    <w:rsid w:val="00516099"/>
    <w:rsid w:val="006B167E"/>
    <w:rsid w:val="00713AC7"/>
    <w:rsid w:val="007307C9"/>
    <w:rsid w:val="00827022"/>
    <w:rsid w:val="00903510"/>
    <w:rsid w:val="00B62B46"/>
    <w:rsid w:val="00CA62FC"/>
    <w:rsid w:val="00CC703E"/>
    <w:rsid w:val="00CE4391"/>
    <w:rsid w:val="00D32C31"/>
    <w:rsid w:val="00E50070"/>
    <w:rsid w:val="00EC3352"/>
    <w:rsid w:val="00F97016"/>
    <w:rsid w:val="1CB57C27"/>
    <w:rsid w:val="605BD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98FC"/>
  <w15:docId w15:val="{A32B2C1C-E284-264A-9459-8F9D96D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ID2-DokumentTitle">
    <w:name w:val="ID2 - Dokument Title"/>
    <w:basedOn w:val="Standard"/>
    <w:qFormat/>
    <w:rsid w:val="00713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Arial"/>
      <w:b/>
      <w:bCs/>
      <w:color w:val="000000" w:themeColor="text1"/>
      <w:sz w:val="32"/>
      <w:szCs w:val="32"/>
      <w:lang w:eastAsia="de-DE"/>
    </w:rPr>
  </w:style>
  <w:style w:type="paragraph" w:customStyle="1" w:styleId="ID2-listenpunkt">
    <w:name w:val="ID2 - listenpunkt"/>
    <w:basedOn w:val="Standard"/>
    <w:qFormat/>
    <w:rsid w:val="00713AC7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" w:after="36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ID2-Title">
    <w:name w:val="ID2 - Title"/>
    <w:basedOn w:val="Standard"/>
    <w:qFormat/>
    <w:rsid w:val="00713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Arial"/>
      <w:color w:val="2896D2"/>
      <w:sz w:val="32"/>
      <w:szCs w:val="32"/>
      <w:lang w:eastAsia="de-DE"/>
    </w:rPr>
  </w:style>
  <w:style w:type="paragraph" w:customStyle="1" w:styleId="ID2Fliesstext">
    <w:name w:val="ID2 Fliesstext"/>
    <w:basedOn w:val="Standard"/>
    <w:qFormat/>
    <w:rsid w:val="00713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2597</Characters>
  <Application>Microsoft Office Word</Application>
  <DocSecurity>0</DocSecurity>
  <Lines>21</Lines>
  <Paragraphs>6</Paragraphs>
  <ScaleCrop>false</ScaleCrop>
  <Company>HannIT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Jens -30-</dc:creator>
  <cp:lastModifiedBy>Jacek Kuclo</cp:lastModifiedBy>
  <cp:revision>23</cp:revision>
  <dcterms:created xsi:type="dcterms:W3CDTF">2019-09-25T12:01:00Z</dcterms:created>
  <dcterms:modified xsi:type="dcterms:W3CDTF">2022-08-25T13:34:00Z</dcterms:modified>
</cp:coreProperties>
</file>